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精明资金理念 (SMC) 交易检查清单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精准机构交易工作流程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第一阶段：更高时间框架（HTF）分析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目标：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与“大局”保持一致，避免逆机构趋势进行交易。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HTF趋势识别：</w:t>
      </w:r>
      <w:r w:rsidDel="00000000" w:rsidR="00000000" w:rsidRPr="00000000">
        <w:rPr>
          <w:rtl w:val="0"/>
        </w:rPr>
        <w:t xml:space="preserve">在</w:t>
      </w:r>
      <w:r w:rsidDel="00000000" w:rsidR="00000000" w:rsidRPr="00000000">
        <w:rPr>
          <w:b w:val="1"/>
          <w:bCs w:val="1"/>
          <w:rtl w:val="0"/>
        </w:rPr>
        <w:t xml:space="preserve">日常的</w:t>
      </w:r>
      <w:r w:rsidDel="00000000" w:rsidR="00000000" w:rsidRPr="00000000">
        <w:rPr>
          <w:rtl w:val="0"/>
        </w:rPr>
        <w:t xml:space="preserve"> 或者 </w:t>
      </w:r>
      <w:r w:rsidDel="00000000" w:rsidR="00000000" w:rsidRPr="00000000">
        <w:rPr>
          <w:b w:val="1"/>
          <w:bCs w:val="1"/>
          <w:rtl w:val="0"/>
        </w:rPr>
        <w:t xml:space="preserve">4H</w:t>
      </w:r>
      <w:r w:rsidDel="00000000" w:rsidR="00000000" w:rsidRPr="00000000">
        <w:rPr>
          <w:rtl w:val="0"/>
        </w:rPr>
        <w:t xml:space="preserve">从图表来看，市场是在创出更高的高点（看涨）还是更低的低点（看跌）？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标记交易范围：</w:t>
      </w:r>
      <w:r w:rsidDel="00000000" w:rsidR="00000000" w:rsidRPr="00000000">
        <w:rPr>
          <w:rtl w:val="0"/>
        </w:rPr>
        <w:t xml:space="preserve">确定价格当前交易所在的最近一个高点和低点。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高端产品与折扣产品：</w:t>
      </w:r>
      <w:r w:rsidDel="00000000" w:rsidR="00000000" w:rsidRPr="00000000">
        <w:rPr>
          <w:rtl w:val="0"/>
        </w:rPr>
        <w:t xml:space="preserve">对范围应用斐波那契工具（0.5 平衡）。</w:t>
      </w:r>
    </w:p>
    <w:p w:rsidR="00000000" w:rsidDel="00000000" w:rsidP="00000000" w:rsidRDefault="00000000" w:rsidRPr="00000000" w14:paraId="0000000B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长线：</w:t>
      </w:r>
      <w:r w:rsidDel="00000000" w:rsidR="00000000" w:rsidRPr="00000000">
        <w:rPr>
          <w:rtl w:val="0"/>
        </w:rPr>
        <w:t xml:space="preserve">仅在</w:t>
      </w:r>
      <w:r w:rsidDel="00000000" w:rsidR="00000000" w:rsidRPr="00000000">
        <w:rPr>
          <w:b w:val="1"/>
          <w:bCs w:val="1"/>
          <w:rtl w:val="0"/>
        </w:rPr>
        <w:t xml:space="preserve">折扣区</w:t>
      </w:r>
      <w:r w:rsidDel="00000000" w:rsidR="00000000" w:rsidRPr="00000000">
        <w:rPr>
          <w:rtl w:val="0"/>
        </w:rPr>
        <w:t xml:space="preserve">（低于 50% 水平）。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短裤：</w:t>
      </w:r>
      <w:r w:rsidDel="00000000" w:rsidR="00000000" w:rsidRPr="00000000">
        <w:rPr>
          <w:rtl w:val="0"/>
        </w:rPr>
        <w:t xml:space="preserve">仅在</w:t>
      </w:r>
      <w:r w:rsidDel="00000000" w:rsidR="00000000" w:rsidRPr="00000000">
        <w:rPr>
          <w:b w:val="1"/>
          <w:bCs w:val="1"/>
          <w:rtl w:val="0"/>
        </w:rPr>
        <w:t xml:space="preserve">高级区</w:t>
      </w:r>
      <w:r w:rsidDel="00000000" w:rsidR="00000000" w:rsidRPr="00000000">
        <w:rPr>
          <w:rtl w:val="0"/>
        </w:rPr>
        <w:t xml:space="preserve">（&gt; 50% 水平）。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[ ]</w:t>
      </w:r>
      <w:r w:rsidDel="00000000" w:rsidR="00000000" w:rsidRPr="00000000">
        <w:rPr>
          <w:b w:val="1"/>
          <w:bCs w:val="1"/>
          <w:rtl w:val="0"/>
        </w:rPr>
        <w:t xml:space="preserve">确定兴趣点（POI）：</w:t>
      </w:r>
      <w:r w:rsidDel="00000000" w:rsidR="00000000" w:rsidRPr="00000000">
        <w:rPr>
          <w:rtl w:val="0"/>
        </w:rPr>
        <w:t xml:space="preserve">突出未加缓解的</w:t>
      </w:r>
      <w:r w:rsidDel="00000000" w:rsidR="00000000" w:rsidRPr="00000000">
        <w:rPr>
          <w:b w:val="1"/>
          <w:bCs w:val="1"/>
          <w:rtl w:val="0"/>
        </w:rPr>
        <w:t xml:space="preserve">订单块（OB）</w:t>
      </w:r>
      <w:r w:rsidDel="00000000" w:rsidR="00000000" w:rsidRPr="00000000">
        <w:rPr>
          <w:rtl w:val="0"/>
        </w:rPr>
        <w:t xml:space="preserve"> 或者 </w:t>
      </w:r>
      <w:r w:rsidDel="00000000" w:rsidR="00000000" w:rsidRPr="00000000">
        <w:rPr>
          <w:b w:val="1"/>
          <w:bCs w:val="1"/>
          <w:rtl w:val="0"/>
        </w:rPr>
        <w:t xml:space="preserve">公允价值缺口（FVG）</w:t>
      </w:r>
      <w:r w:rsidDel="00000000" w:rsidR="00000000" w:rsidRPr="00000000">
        <w:rPr>
          <w:rtl w:val="0"/>
        </w:rPr>
        <w:t xml:space="preserve">在您的 HTF 区域内。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第二阶段：流动性和激励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目标：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找出零售“诱饵”的所在位置，以免自己成为流动性提供者。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现货零售流动性：</w:t>
      </w:r>
      <w:r w:rsidDel="00000000" w:rsidR="00000000" w:rsidRPr="00000000">
        <w:rPr>
          <w:rtl w:val="0"/>
        </w:rPr>
        <w:t xml:space="preserve">定位</w:t>
      </w:r>
      <w:r w:rsidDel="00000000" w:rsidR="00000000" w:rsidRPr="00000000">
        <w:rPr>
          <w:b w:val="1"/>
          <w:bCs w:val="1"/>
          <w:rtl w:val="0"/>
        </w:rPr>
        <w:t xml:space="preserve">平等高点 (EQH)</w:t>
      </w:r>
      <w:r w:rsidDel="00000000" w:rsidR="00000000" w:rsidRPr="00000000">
        <w:rPr>
          <w:rtl w:val="0"/>
        </w:rPr>
        <w:t xml:space="preserve">，</w:t>
      </w:r>
      <w:r w:rsidDel="00000000" w:rsidR="00000000" w:rsidRPr="00000000">
        <w:rPr>
          <w:b w:val="1"/>
          <w:bCs w:val="1"/>
          <w:rtl w:val="0"/>
        </w:rPr>
        <w:t xml:space="preserve">等低点 (EQL)</w:t>
      </w:r>
      <w:r w:rsidDel="00000000" w:rsidR="00000000" w:rsidRPr="00000000">
        <w:rPr>
          <w:rtl w:val="0"/>
        </w:rPr>
        <w:t xml:space="preserve">或者明显的零售趋势线。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扫荡行动：</w:t>
      </w:r>
      <w:r w:rsidDel="00000000" w:rsidR="00000000" w:rsidRPr="00000000">
        <w:rPr>
          <w:rtl w:val="0"/>
        </w:rPr>
        <w:t xml:space="preserve">价格是否大幅突破了前一交易日的高点/低点或结构性水平？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诱导性检查：</w:t>
      </w:r>
      <w:r w:rsidDel="00000000" w:rsidR="00000000" w:rsidRPr="00000000">
        <w:rPr>
          <w:rtl w:val="0"/>
        </w:rPr>
        <w:t xml:space="preserve">价格是否制造了一个“虚假的”结构性断点，以便在达到你真正的兴趣点之前诱使早期参与者？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第三阶段：低时间框架（LTF）确认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目标：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精准把握入场时机，最大化风险回报比 (RR)。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时间框架转换：</w:t>
      </w:r>
      <w:r w:rsidDel="00000000" w:rsidR="00000000" w:rsidRPr="00000000">
        <w:rPr>
          <w:rtl w:val="0"/>
        </w:rPr>
        <w:t xml:space="preserve">下降到</w:t>
      </w:r>
      <w:r w:rsidDel="00000000" w:rsidR="00000000" w:rsidRPr="00000000">
        <w:rPr>
          <w:b w:val="1"/>
          <w:bCs w:val="1"/>
          <w:rtl w:val="0"/>
        </w:rPr>
        <w:t xml:space="preserve">15米、5米或1米</w:t>
      </w:r>
      <w:r w:rsidDel="00000000" w:rsidR="00000000" w:rsidRPr="00000000">
        <w:rPr>
          <w:rtl w:val="0"/>
        </w:rPr>
        <w:t xml:space="preserve">当价格进入您的高时间框架兴趣点时，图表会显示出来。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性格变化（CHOCH）：</w:t>
      </w:r>
      <w:r w:rsidDel="00000000" w:rsidR="00000000" w:rsidRPr="00000000">
        <w:rPr>
          <w:rtl w:val="0"/>
        </w:rPr>
        <w:t xml:space="preserve">等待内部供需出现明显变化（首次突破反趋势高点/低点）。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重走：</w:t>
      </w:r>
      <w:r w:rsidDel="00000000" w:rsidR="00000000" w:rsidRPr="00000000">
        <w:rPr>
          <w:rtl w:val="0"/>
        </w:rPr>
        <w:t xml:space="preserve">等待价格回落到……</w:t>
      </w:r>
      <w:r w:rsidDel="00000000" w:rsidR="00000000" w:rsidRPr="00000000">
        <w:rPr>
          <w:b w:val="1"/>
          <w:bCs w:val="1"/>
          <w:rtl w:val="0"/>
        </w:rPr>
        <w:t xml:space="preserve">LTF订单块</w:t>
      </w:r>
      <w:r w:rsidDel="00000000" w:rsidR="00000000" w:rsidRPr="00000000">
        <w:rPr>
          <w:rtl w:val="0"/>
        </w:rPr>
        <w:t xml:space="preserve"> 或者 </w:t>
      </w:r>
      <w:r w:rsidDel="00000000" w:rsidR="00000000" w:rsidRPr="00000000">
        <w:rPr>
          <w:b w:val="1"/>
          <w:bCs w:val="1"/>
          <w:rtl w:val="0"/>
        </w:rPr>
        <w:t xml:space="preserve">弗格森</w:t>
      </w:r>
      <w:r w:rsidDel="00000000" w:rsidR="00000000" w:rsidRPr="00000000">
        <w:rPr>
          <w:rtl w:val="0"/>
        </w:rPr>
        <w:t xml:space="preserve">由 CHoCH 脉冲产生。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第四阶段：执行与风险管理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目标：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严格执行，保护好你的资金。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止损（SL）：</w:t>
      </w:r>
      <w:r w:rsidDel="00000000" w:rsidR="00000000" w:rsidRPr="00000000">
        <w:rPr>
          <w:rtl w:val="0"/>
        </w:rPr>
        <w:t xml:space="preserve">将止损位设置在入场订单块的结构性低点/高点后 1-2 个点。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止盈（TP）：</w:t>
      </w:r>
      <w:r w:rsidDel="00000000" w:rsidR="00000000" w:rsidRPr="00000000">
        <w:rPr>
          <w:rtl w:val="0"/>
        </w:rPr>
        <w:t xml:space="preserve">瞄准下一个主要的“流动性池”或未采取缓解措施的FVG。目标是……</w:t>
      </w:r>
      <w:r w:rsidDel="00000000" w:rsidR="00000000" w:rsidRPr="00000000">
        <w:rPr>
          <w:b w:val="1"/>
          <w:bCs w:val="1"/>
          <w:rtl w:val="0"/>
        </w:rPr>
        <w:t xml:space="preserve">最低 1:3 RR</w:t>
      </w:r>
      <w:r w:rsidDel="00000000" w:rsidR="00000000" w:rsidRPr="00000000">
        <w:rPr>
          <w:rtl w:val="0"/>
        </w:rPr>
        <w:t xml:space="preserve">。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职位规模：</w:t>
      </w:r>
      <w:r w:rsidDel="00000000" w:rsidR="00000000" w:rsidRPr="00000000">
        <w:rPr>
          <w:rtl w:val="0"/>
        </w:rPr>
        <w:t xml:space="preserve">计算交易规模，确保您承担的风险恰好等于交易规模。</w:t>
      </w:r>
      <w:r w:rsidDel="00000000" w:rsidR="00000000" w:rsidRPr="00000000">
        <w:rPr>
          <w:b w:val="1"/>
          <w:bCs w:val="1"/>
          <w:rtl w:val="0"/>
        </w:rPr>
        <w:t xml:space="preserve">0.5% – 1%</w:t>
      </w:r>
      <w:r w:rsidDel="00000000" w:rsidR="00000000" w:rsidRPr="00000000">
        <w:rPr>
          <w:rtl w:val="0"/>
        </w:rPr>
        <w:t xml:space="preserve">你的权益。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[]</w:t>
      </w:r>
      <w:r w:rsidDel="00000000" w:rsidR="00000000" w:rsidRPr="00000000">
        <w:rPr>
          <w:b w:val="1"/>
          <w:bCs w:val="1"/>
          <w:rtl w:val="0"/>
        </w:rPr>
        <w:t xml:space="preserve">贸易管理：</w:t>
      </w:r>
      <w:r w:rsidDel="00000000" w:rsidR="00000000" w:rsidRPr="00000000">
        <w:rPr>
          <w:rtl w:val="0"/>
        </w:rPr>
        <w:t xml:space="preserve">确定何时将止损移至盈亏平衡点（例如，在第一次止损之后）。</w:t>
      </w:r>
      <w:r w:rsidDel="00000000" w:rsidR="00000000" w:rsidRPr="00000000">
        <w:rPr>
          <w:b w:val="1"/>
          <w:bCs w:val="1"/>
          <w:rtl w:val="0"/>
        </w:rPr>
        <w:t xml:space="preserve">结构断裂（BOS）</w:t>
      </w:r>
      <w:r w:rsidDel="00000000" w:rsidR="00000000" w:rsidRPr="00000000">
        <w:rPr>
          <w:rtl w:val="0"/>
        </w:rPr>
        <w:t xml:space="preserve">在 LTF 上）。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专业提示：SMC黄金法则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“如果你看不到流动资金在哪里，那么你就是流动资金本身。”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如果你的配置不符合上述所有条件，那就先观望。市场每天都有机会，但保住本金才是你的首要任务。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0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0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zh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